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CE" w:rsidRDefault="000763CE" w:rsidP="000763CE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CE" w:rsidRPr="000763CE" w:rsidRDefault="000763CE" w:rsidP="000763CE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CE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0763CE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0763CE" w:rsidRDefault="000763CE" w:rsidP="0007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FF" w:rsidRPr="000763CE" w:rsidRDefault="004931FF" w:rsidP="0007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763CE" w:rsidRPr="000763CE" w:rsidRDefault="000763CE" w:rsidP="0007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63CE" w:rsidRPr="000763CE" w:rsidRDefault="000763CE" w:rsidP="000763CE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CE"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4931FF">
        <w:rPr>
          <w:rFonts w:ascii="Times New Roman" w:hAnsi="Times New Roman" w:cs="Times New Roman"/>
          <w:sz w:val="28"/>
          <w:szCs w:val="28"/>
        </w:rPr>
        <w:t>______</w:t>
      </w:r>
      <w:r w:rsidRPr="000763CE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№ </w:t>
      </w:r>
      <w:r w:rsidR="004931FF">
        <w:rPr>
          <w:rFonts w:ascii="Times New Roman" w:hAnsi="Times New Roman" w:cs="Times New Roman"/>
          <w:sz w:val="28"/>
          <w:szCs w:val="28"/>
        </w:rPr>
        <w:t>__</w:t>
      </w:r>
    </w:p>
    <w:p w:rsidR="000763CE" w:rsidRPr="000763CE" w:rsidRDefault="000763CE" w:rsidP="0007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3CE"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:rsidR="000763CE" w:rsidRPr="000763CE" w:rsidRDefault="000763CE" w:rsidP="0007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требований к договорам о предоставлении бюджетных инвестиций</w:t>
      </w:r>
      <w:r w:rsidR="00AC6138" w:rsidRPr="007C1EFF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юридическим лицам, не являющим</w:t>
      </w: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ся муниципальными учреждениями и муниципальными унитарными предприятиями, за счет средств местного бюджета</w:t>
      </w:r>
    </w:p>
    <w:p w:rsidR="00CB2E4C" w:rsidRPr="007C1EFF" w:rsidRDefault="00CB2E4C" w:rsidP="00CB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ст. 80 Бюджетного кодекса Российской Федерации, Уставом </w:t>
      </w:r>
      <w:r w:rsidR="000763CE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4DFF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14D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DF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7C1E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1. Утвердить требования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 (Приложение № 1).</w:t>
      </w:r>
    </w:p>
    <w:p w:rsidR="00CB2E4C" w:rsidRPr="000D1E91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D1E91" w:rsidRPr="000D1E91">
        <w:rPr>
          <w:rFonts w:ascii="Times New Roman" w:hAnsi="Times New Roman" w:cs="Times New Roman"/>
          <w:sz w:val="28"/>
        </w:rPr>
        <w:t>Общему отделу администрации Первомайского сельского поселения (</w:t>
      </w:r>
      <w:proofErr w:type="spellStart"/>
      <w:r w:rsidR="000D1E91" w:rsidRPr="000D1E91">
        <w:rPr>
          <w:rFonts w:ascii="Times New Roman" w:hAnsi="Times New Roman" w:cs="Times New Roman"/>
          <w:sz w:val="28"/>
        </w:rPr>
        <w:t>Дмитриченко</w:t>
      </w:r>
      <w:proofErr w:type="spellEnd"/>
      <w:r w:rsidR="000D1E91" w:rsidRPr="000D1E91">
        <w:rPr>
          <w:rFonts w:ascii="Times New Roman" w:hAnsi="Times New Roman" w:cs="Times New Roman"/>
          <w:sz w:val="28"/>
        </w:rPr>
        <w:t xml:space="preserve">) обнародовать настоящее постановление и разместить на официальном сайте администрации Первомайского сельского поселения </w:t>
      </w:r>
      <w:proofErr w:type="spellStart"/>
      <w:r w:rsidR="000D1E91" w:rsidRPr="000D1E91">
        <w:rPr>
          <w:rFonts w:ascii="Times New Roman" w:hAnsi="Times New Roman" w:cs="Times New Roman"/>
          <w:sz w:val="28"/>
        </w:rPr>
        <w:t>Кущевского</w:t>
      </w:r>
      <w:proofErr w:type="spellEnd"/>
      <w:r w:rsidR="000D1E91" w:rsidRPr="000D1E91">
        <w:rPr>
          <w:rFonts w:ascii="Times New Roman" w:hAnsi="Times New Roman" w:cs="Times New Roman"/>
          <w:sz w:val="28"/>
        </w:rPr>
        <w:t xml:space="preserve"> района.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E91" w:rsidRDefault="000D1E91" w:rsidP="00BB786F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B786F" w:rsidRPr="00BB786F" w:rsidRDefault="000D1E91" w:rsidP="00BB786F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786F" w:rsidRPr="00BB78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786F" w:rsidRPr="00BB786F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</w:t>
      </w:r>
    </w:p>
    <w:p w:rsidR="00BB786F" w:rsidRPr="00BB786F" w:rsidRDefault="00BB786F" w:rsidP="00BB786F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86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BB786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0D1E91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8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1E91">
        <w:rPr>
          <w:rFonts w:ascii="Times New Roman" w:hAnsi="Times New Roman" w:cs="Times New Roman"/>
          <w:sz w:val="28"/>
          <w:szCs w:val="28"/>
        </w:rPr>
        <w:t>С.Г.Емельянов</w:t>
      </w:r>
      <w:r w:rsidRPr="00BB786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3CE" w:rsidRPr="007C1EFF" w:rsidRDefault="000763CE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1BFF" w:rsidRDefault="00CB2E4C" w:rsidP="00CB2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290767" w:rsidRPr="007C1E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4931FF" w:rsidRDefault="004931FF" w:rsidP="00BB786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Default="00CB2E4C" w:rsidP="00BB786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B786F" w:rsidRPr="007C1EFF" w:rsidRDefault="00BB786F" w:rsidP="00BB786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CB2E4C" w:rsidRPr="007C1EFF" w:rsidRDefault="00CB2E4C" w:rsidP="00BB786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B2E4C" w:rsidRPr="007C1EFF" w:rsidRDefault="00BB786F" w:rsidP="00BB786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31BFF" w:rsidRDefault="00331BFF" w:rsidP="00BB786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CB2E4C" w:rsidRPr="007C1EFF" w:rsidRDefault="00CB2E4C" w:rsidP="00BB786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31F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0D1E91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года   № </w:t>
      </w:r>
      <w:r w:rsidR="004931F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B2E4C" w:rsidRPr="007C1EFF" w:rsidRDefault="00CB2E4C" w:rsidP="00290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</w:p>
    <w:p w:rsidR="00CB2E4C" w:rsidRPr="007C1EFF" w:rsidRDefault="00CB2E4C" w:rsidP="00CB2E4C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к договорам о предоставлении бюджетных инвестиций</w:t>
      </w:r>
      <w:r w:rsidR="00AC6138" w:rsidRPr="007C1EFF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юридическим лицам, не являющим</w:t>
      </w: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ся муниципальными учреждениями и муниципальными унитарными предприятиями, за счет средств местного бюджета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0001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бюджетные инвестиции, осуществляющ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полномочия собственника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0001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в отношении акций (долей) в уставном (складочном) капитале юридического лица, получающ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25378" w:rsidRPr="00214814" w:rsidRDefault="00CB2E4C" w:rsidP="0021481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Договор о предоставлении бюджетных инвестиций заключается в пределах бюджетных ассигнований, утвержденных решением Совета 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0001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о местном бюджете на соответствующий финансовый год, и лимитов бюджетных обязательств, доведенных в установленном порядке для предоставления бюджетных инвестиций соответствующему 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исполнительно-распорядительному органу 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Первомайского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0001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79000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 xml:space="preserve">района 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как получателю средств местного бюджета.</w:t>
      </w:r>
      <w:proofErr w:type="gramEnd"/>
    </w:p>
    <w:p w:rsidR="00CB2E4C" w:rsidRPr="007C1EFF" w:rsidRDefault="00625378" w:rsidP="0062537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>3. Договором о предоставлении бюджетных инвестиций предусматриваются: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E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1EFF">
        <w:rPr>
          <w:rFonts w:ascii="Times New Roman" w:eastAsia="Times New Roman" w:hAnsi="Times New Roman" w:cs="Times New Roman"/>
          <w:sz w:val="28"/>
          <w:szCs w:val="28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CB2E4C" w:rsidRPr="004D4E57" w:rsidRDefault="00CB2E4C" w:rsidP="004D4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</w:t>
      </w:r>
      <w:r w:rsidR="006E4206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законодательством Российской Федерации;</w:t>
      </w:r>
      <w:proofErr w:type="gramEnd"/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ж) условие об осуществлении операций по зачислению (списанию) средств на счет, указанный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  <w:proofErr w:type="gramEnd"/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EF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определяющем</w:t>
      </w:r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и) положения о запрете: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местной администрации;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местной администрации,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к) порядок и сроки представления юридическим лицом, получающим бюджетные инвестиции, установленной местной администрацией, предоставляющим бюджетные инвестиции, отчетности о расходах, источником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л) право 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>исполнительно-распорядительн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0001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E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C1EFF">
        <w:rPr>
          <w:rFonts w:ascii="Times New Roman" w:eastAsia="Times New Roman" w:hAnsi="Times New Roman" w:cs="Times New Roman"/>
          <w:sz w:val="28"/>
          <w:szCs w:val="28"/>
        </w:rPr>
        <w:t>) порядок возврата юридическим лицом, получающим бюджетные инвестиции, полученных сре</w:t>
      </w: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дств в сл</w:t>
      </w:r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  <w:proofErr w:type="gramEnd"/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</w:t>
      </w:r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(с распределением указанных объемов по годам);</w:t>
      </w:r>
    </w:p>
    <w:p w:rsidR="00CB2E4C" w:rsidRPr="00140004" w:rsidRDefault="00140004" w:rsidP="00140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 xml:space="preserve">б) обязательство юридического лица, получающего бюджетные инвестиции, </w:t>
      </w:r>
      <w:r>
        <w:rPr>
          <w:rFonts w:ascii="Times New Roman" w:hAnsi="Times New Roman" w:cs="Times New Roman"/>
          <w:sz w:val="28"/>
          <w:szCs w:val="28"/>
        </w:rPr>
        <w:t>обеспечить вложение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 xml:space="preserve">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>в объеме, предусмотренном принятым в установленном местной администрацией порядке о предоставлении бюджетных инвестиций;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строительства, а также проведение</w:t>
      </w:r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>установленных администрацией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790001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  <w:proofErr w:type="gramEnd"/>
    </w:p>
    <w:p w:rsidR="00405BB2" w:rsidRDefault="00405BB2" w:rsidP="0040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строительства);</w:t>
      </w:r>
    </w:p>
    <w:p w:rsidR="00DA02AA" w:rsidRDefault="00DA02AA" w:rsidP="00DA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федерального бюджета, в том числе в соответствии с иными договорами о предоставлении бюджетных инвестиций.</w:t>
      </w:r>
      <w:proofErr w:type="gramEnd"/>
    </w:p>
    <w:p w:rsidR="00CB2E4C" w:rsidRPr="007C1EFF" w:rsidRDefault="00DA02AA" w:rsidP="00DA02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администрацией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0001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04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7B4">
        <w:rPr>
          <w:rFonts w:ascii="Times New Roman" w:eastAsia="Times New Roman" w:hAnsi="Times New Roman" w:cs="Times New Roman"/>
          <w:sz w:val="28"/>
          <w:szCs w:val="28"/>
        </w:rPr>
        <w:t xml:space="preserve">НПА 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 xml:space="preserve"> бюджетных инвестиций.</w:t>
      </w:r>
      <w:proofErr w:type="gramEnd"/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пункте 3 настоящего документа, также предусматриваются:</w:t>
      </w:r>
      <w:proofErr w:type="gramEnd"/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а) наименования дочерних обществ;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в)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>ии, если решением администрации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448C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не определены иные сроки или порядок определения указанных сроков;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>г) положение о представлении юридическим лицом, получающим бюджетные инвестиции, в составе отчетности, указанной в подпункте "к" пункта 3 настоящего документа, информации об использовании дочерними обществами полученных средств;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E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1EFF">
        <w:rPr>
          <w:rFonts w:ascii="Times New Roman" w:eastAsia="Times New Roman" w:hAnsi="Times New Roman" w:cs="Times New Roman"/>
          <w:sz w:val="28"/>
          <w:szCs w:val="28"/>
        </w:rPr>
        <w:t>) положения о предоставлении взносов (вкладов) на условиях, предусматривающих право муниципального органа исполнительной власти, предоставляющего бюджетные инвестиции, на проведение в отношении дочерних обще</w:t>
      </w: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>оверок, предусмотренных подпунктом "л" пункта 3 настоящего документа;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2617B4" w:rsidRDefault="002617B4" w:rsidP="0026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"в"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документа. Положения указанного договора должны соответствовать аналогичным положениям принятого в установленном порядке решения (нормативного правового акта) </w:t>
      </w:r>
      <w:r w:rsidR="00A93B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бюджетных инвестиций.</w:t>
      </w:r>
    </w:p>
    <w:p w:rsidR="00CB2E4C" w:rsidRPr="007C1EFF" w:rsidRDefault="002617B4" w:rsidP="002617B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>7. Договором между юридическим лицом, получающим бюджетные инвестиции, и дочерним обществом о предоставлении взноса (вклада), указанным в подпункте "е" пункта 6 настоящего документа, предусматриваются: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б) показатели результативности и их значения;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E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C1EFF">
        <w:rPr>
          <w:rFonts w:ascii="Times New Roman" w:eastAsia="Times New Roman" w:hAnsi="Times New Roman" w:cs="Times New Roman"/>
          <w:sz w:val="28"/>
          <w:szCs w:val="28"/>
        </w:rPr>
        <w:t>) сроки перечисления взноса (вклада);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е) положения, предусматривающие осуществление операций по перечислению взноса (вклада) за счет средств, отраженных на лицевом счете,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указанном в подпункте "ж" пункта 3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  <w:proofErr w:type="gramEnd"/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EF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определяющем</w:t>
      </w:r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и) положения о запрете: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инвестиц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>ий и определенных администрацией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448C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операций, определенных нормативными правовыми актами 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>администрации Первомайского с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F0448C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л) право юридического лица, получающего бюджетные инвестиции, и 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>исполнительно-распорядительно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 xml:space="preserve"> орга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</w:t>
      </w:r>
      <w:r w:rsidR="00BB786F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448C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,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дств в сл</w:t>
      </w:r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>учае установления факта несоблюдения им целей и условий, определенных указанным договором.</w:t>
      </w:r>
    </w:p>
    <w:p w:rsidR="00586A78" w:rsidRDefault="00B33DEE" w:rsidP="0058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7(1).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 помимо положений,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также предусматриваются:</w:t>
      </w:r>
    </w:p>
    <w:p w:rsidR="00586A78" w:rsidRDefault="00B33DEE" w:rsidP="0058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(с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распределением указанных объемов по годам);</w:t>
      </w:r>
    </w:p>
    <w:p w:rsidR="002A6305" w:rsidRDefault="00B33DEE" w:rsidP="002A6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</w:t>
      </w:r>
      <w:r w:rsidR="002A6305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порядке решением (нормативным правовым актом) </w:t>
      </w:r>
      <w:r w:rsidR="002A630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 предоставлении бюджетных инвестиций;</w:t>
      </w:r>
      <w:proofErr w:type="gramEnd"/>
    </w:p>
    <w:p w:rsidR="002A6305" w:rsidRDefault="00B33DEE" w:rsidP="002A6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обязанность дочернего общества обеспечить выполнение работ, указанных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"ж"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B33DEE" w:rsidRDefault="00B33DEE" w:rsidP="002A6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"ж"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по строительству, реконструкции и техническому перевооружению объектов капитального строительства).</w:t>
      </w:r>
    </w:p>
    <w:p w:rsidR="00586A78" w:rsidRDefault="00586A78" w:rsidP="0058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Положения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 "г" пункта 7(1)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требований, утвержденных настоящим постановлением, не применяются к отношениям, связанным с осуществлением закупок,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г., а также к гражданско-правовым договорам, заключенным до 1 января 2018 г.</w:t>
      </w:r>
    </w:p>
    <w:p w:rsidR="00CB2E4C" w:rsidRPr="007C1EFF" w:rsidRDefault="00B33DEE" w:rsidP="00B33DE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>8. Положения договоров о предоставлении взноса (вклада) должны соответствовать аналогичным</w:t>
      </w:r>
      <w:bookmarkStart w:id="0" w:name="_GoBack"/>
      <w:bookmarkEnd w:id="0"/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 xml:space="preserve"> положениям договоров о предоставлении бюджетных инвестиций.</w:t>
      </w:r>
    </w:p>
    <w:p w:rsidR="00B452E5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B786F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</w:t>
      </w:r>
      <w:r w:rsidR="00BB786F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448C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2E5" w:rsidRDefault="00B452E5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86F" w:rsidRDefault="00BB786F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E91" w:rsidRDefault="000D1E91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BB786F" w:rsidRPr="00BB786F" w:rsidRDefault="000D1E91" w:rsidP="00BB786F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786F" w:rsidRPr="00BB78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786F" w:rsidRPr="00BB786F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</w:t>
      </w:r>
    </w:p>
    <w:p w:rsidR="00BB786F" w:rsidRPr="00BB786F" w:rsidRDefault="00BB786F" w:rsidP="00BB786F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86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BB786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1E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1E91">
        <w:rPr>
          <w:rFonts w:ascii="Times New Roman" w:hAnsi="Times New Roman" w:cs="Times New Roman"/>
          <w:sz w:val="28"/>
          <w:szCs w:val="28"/>
        </w:rPr>
        <w:t>С.Г.Емельянов</w:t>
      </w:r>
    </w:p>
    <w:p w:rsidR="00B452E5" w:rsidRDefault="00B452E5" w:rsidP="00BB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452E5" w:rsidSect="000763CE">
      <w:headerReference w:type="default" r:id="rId16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85" w:rsidRDefault="00635885" w:rsidP="00F036CA">
      <w:pPr>
        <w:spacing w:after="0" w:line="240" w:lineRule="auto"/>
      </w:pPr>
      <w:r>
        <w:separator/>
      </w:r>
    </w:p>
  </w:endnote>
  <w:endnote w:type="continuationSeparator" w:id="0">
    <w:p w:rsidR="00635885" w:rsidRDefault="00635885" w:rsidP="00F0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85" w:rsidRDefault="00635885" w:rsidP="00F036CA">
      <w:pPr>
        <w:spacing w:after="0" w:line="240" w:lineRule="auto"/>
      </w:pPr>
      <w:r>
        <w:separator/>
      </w:r>
    </w:p>
  </w:footnote>
  <w:footnote w:type="continuationSeparator" w:id="0">
    <w:p w:rsidR="00635885" w:rsidRDefault="00635885" w:rsidP="00F0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958766"/>
      <w:docPartObj>
        <w:docPartGallery w:val="Page Numbers (Top of Page)"/>
        <w:docPartUnique/>
      </w:docPartObj>
    </w:sdtPr>
    <w:sdtContent>
      <w:p w:rsidR="00F036CA" w:rsidRDefault="000E206B">
        <w:pPr>
          <w:pStyle w:val="a6"/>
          <w:jc w:val="center"/>
        </w:pPr>
        <w:fldSimple w:instr=" PAGE   \* MERGEFORMAT ">
          <w:r w:rsidR="004931FF">
            <w:rPr>
              <w:noProof/>
            </w:rPr>
            <w:t>9</w:t>
          </w:r>
        </w:fldSimple>
      </w:p>
    </w:sdtContent>
  </w:sdt>
  <w:p w:rsidR="00F036CA" w:rsidRDefault="00F036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A34"/>
    <w:rsid w:val="00025A34"/>
    <w:rsid w:val="00066B64"/>
    <w:rsid w:val="000763CE"/>
    <w:rsid w:val="00082799"/>
    <w:rsid w:val="000D1E91"/>
    <w:rsid w:val="000E206B"/>
    <w:rsid w:val="00104023"/>
    <w:rsid w:val="00140004"/>
    <w:rsid w:val="00184CAC"/>
    <w:rsid w:val="001A0684"/>
    <w:rsid w:val="001F26C4"/>
    <w:rsid w:val="00214814"/>
    <w:rsid w:val="00214DFF"/>
    <w:rsid w:val="002617B4"/>
    <w:rsid w:val="002826D2"/>
    <w:rsid w:val="00290767"/>
    <w:rsid w:val="00292B80"/>
    <w:rsid w:val="002A6305"/>
    <w:rsid w:val="002E2158"/>
    <w:rsid w:val="002E2FCA"/>
    <w:rsid w:val="002F78AD"/>
    <w:rsid w:val="00331BFF"/>
    <w:rsid w:val="00366911"/>
    <w:rsid w:val="00405BB2"/>
    <w:rsid w:val="00426AF0"/>
    <w:rsid w:val="00472AE2"/>
    <w:rsid w:val="00484E56"/>
    <w:rsid w:val="004931FF"/>
    <w:rsid w:val="004D4E57"/>
    <w:rsid w:val="004F763D"/>
    <w:rsid w:val="00557FAA"/>
    <w:rsid w:val="00586A78"/>
    <w:rsid w:val="005A556C"/>
    <w:rsid w:val="00625378"/>
    <w:rsid w:val="00635885"/>
    <w:rsid w:val="00697015"/>
    <w:rsid w:val="006B014A"/>
    <w:rsid w:val="006E4206"/>
    <w:rsid w:val="00741067"/>
    <w:rsid w:val="00790001"/>
    <w:rsid w:val="0079327D"/>
    <w:rsid w:val="007C1EFF"/>
    <w:rsid w:val="0086348F"/>
    <w:rsid w:val="008B437E"/>
    <w:rsid w:val="008E1B0B"/>
    <w:rsid w:val="00930F5F"/>
    <w:rsid w:val="009B3910"/>
    <w:rsid w:val="00A41164"/>
    <w:rsid w:val="00A93B31"/>
    <w:rsid w:val="00AB5A37"/>
    <w:rsid w:val="00AC6138"/>
    <w:rsid w:val="00B33DEE"/>
    <w:rsid w:val="00B452E5"/>
    <w:rsid w:val="00BB786F"/>
    <w:rsid w:val="00C8390C"/>
    <w:rsid w:val="00CB2E4C"/>
    <w:rsid w:val="00DA02AA"/>
    <w:rsid w:val="00DD2F50"/>
    <w:rsid w:val="00DE1344"/>
    <w:rsid w:val="00E16ABB"/>
    <w:rsid w:val="00F036CA"/>
    <w:rsid w:val="00F0448C"/>
    <w:rsid w:val="00F16463"/>
    <w:rsid w:val="00F9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BB"/>
  </w:style>
  <w:style w:type="paragraph" w:styleId="2">
    <w:name w:val="heading 2"/>
    <w:basedOn w:val="a"/>
    <w:link w:val="20"/>
    <w:uiPriority w:val="9"/>
    <w:qFormat/>
    <w:rsid w:val="0002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5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5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5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6CA"/>
  </w:style>
  <w:style w:type="paragraph" w:styleId="a8">
    <w:name w:val="footer"/>
    <w:basedOn w:val="a"/>
    <w:link w:val="a9"/>
    <w:uiPriority w:val="99"/>
    <w:semiHidden/>
    <w:unhideWhenUsed/>
    <w:rsid w:val="00F0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6CA"/>
  </w:style>
  <w:style w:type="paragraph" w:customStyle="1" w:styleId="21">
    <w:name w:val="Средняя сетка 21"/>
    <w:qFormat/>
    <w:rsid w:val="000763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5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5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5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4F0DABF63817AE76A212BF73F9452252D11C3FD0E4EA1460E4C10B4D944327507AEB3D2B119DCFC4D621812EEB3C6289108E33C669744DCT4H" TargetMode="External"/><Relationship Id="rId13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4F0DABF63817AE76A212BF73F9452252D11C3FD0E4EA1460E4C10B4D944327507AEB3D2B119DEFF4D621812EEB3C6289108E33C669744DCT4H" TargetMode="External"/><Relationship Id="rId12" Type="http://schemas.openxmlformats.org/officeDocument/2006/relationships/hyperlink" Target="consultantplus://offline/ref=A0A4DB3312387507DC76745AA8879686A02AF991B57626B7191A25D134B5A5A5D9C4E3D037C0ACFF561759821F3865FB7B0D7FBCD4FB11DD27V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0A4DB3312387507DC76745AA8879686A02AF991B57626B7191A25D134B5A5A5D9C4E3D037C0ACF8561759821F3865FB7B0D7FBCD4FB11DD27V6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03B94361EB55D5D3E62FF337B8247BB8B9E77F02B27C2E24C88CCD966A4B6CC46A8FE7FEC0A52B74F709584E46BCA49A6E6AABEtCW5H" TargetMode="External"/><Relationship Id="rId10" Type="http://schemas.openxmlformats.org/officeDocument/2006/relationships/hyperlink" Target="consultantplus://offline/ref=C9C4F0DABF63817AE76A212BF73F9452252D11C3FD0E4EA1460E4C10B4D944327507AEB3D2B119DCF14D621812EEB3C6289108E33C669744DCT4H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C4F0DABF63817AE76A212BF73F9452252D11C3FD0E4EA1460E4C10B4D944327507AEB3D2B119DCFE4D621812EEB3C6289108E33C669744DCT4H" TargetMode="External"/><Relationship Id="rId14" Type="http://schemas.openxmlformats.org/officeDocument/2006/relationships/hyperlink" Target="consultantplus://offline/ref=A0A4DB3312387507DC76745AA8879686A02AF991B57626B7191A25D134B5A5A5D9C4E3D037C0ACF9531759821F3865FB7B0D7FBCD4FB11DD27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</cp:lastModifiedBy>
  <cp:revision>5</cp:revision>
  <cp:lastPrinted>2019-02-11T07:26:00Z</cp:lastPrinted>
  <dcterms:created xsi:type="dcterms:W3CDTF">2019-04-26T08:25:00Z</dcterms:created>
  <dcterms:modified xsi:type="dcterms:W3CDTF">2019-06-20T07:08:00Z</dcterms:modified>
</cp:coreProperties>
</file>